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_GBK" w:eastAsia="方正小标宋_GBK"/>
          <w:sz w:val="44"/>
        </w:rPr>
      </w:pPr>
      <w:r>
        <w:rPr>
          <w:rFonts w:hint="eastAsia" w:ascii="方正小标宋_GBK" w:eastAsia="方正小标宋_GBK"/>
          <w:sz w:val="44"/>
          <w:lang w:eastAsia="zh-CN"/>
        </w:rPr>
        <w:t>2019年度</w:t>
      </w:r>
      <w:r>
        <w:rPr>
          <w:rFonts w:hint="eastAsia" w:ascii="方正小标宋_GBK" w:eastAsia="方正小标宋_GBK"/>
          <w:sz w:val="44"/>
        </w:rPr>
        <w:t>海南省高等学校教育教学改革</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_GBK" w:eastAsia="方正小标宋_GBK"/>
          <w:sz w:val="44"/>
        </w:rPr>
      </w:pPr>
      <w:r>
        <w:rPr>
          <w:rFonts w:hint="eastAsia" w:ascii="方正小标宋_GBK" w:eastAsia="方正小标宋_GBK"/>
          <w:sz w:val="44"/>
        </w:rPr>
        <w:t>研究项目立项指南</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黑体" w:hAnsi="黑体" w:eastAsia="黑体" w:cs="黑体"/>
          <w:sz w:val="32"/>
          <w:szCs w:val="32"/>
        </w:rPr>
      </w:pPr>
      <w:bookmarkStart w:id="0" w:name="_toc227497592"/>
      <w:r>
        <w:rPr>
          <w:rFonts w:hint="eastAsia" w:ascii="黑体" w:hAnsi="黑体" w:eastAsia="黑体" w:cs="黑体"/>
          <w:sz w:val="32"/>
          <w:szCs w:val="32"/>
        </w:rPr>
        <w:t>一、高等教育发展战略研究</w:t>
      </w:r>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1.海南省地方本科院校转型发展研究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2.海南高等教育人才培养适应区域经济发展研究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3.海南省高等教育人才培养布局与结构调整研究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4.海南省高等学校办学定位与特色发展研究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5.海南省高等学校核心竞争力研究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6.海南省高等学校分类指导研究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7.海南省高等学校专业结构布局与调整研究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8.示范性（骨干）高等职业院校建设的研究与实践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9.高职高专校企合作办学模式研究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3" w:name="_GoBack"/>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0" allowOverlap="1">
                <wp:simplePos x="0" y="0"/>
                <wp:positionH relativeFrom="page">
                  <wp:posOffset>3903980</wp:posOffset>
                </wp:positionH>
                <wp:positionV relativeFrom="paragraph">
                  <wp:posOffset>203200</wp:posOffset>
                </wp:positionV>
                <wp:extent cx="22860" cy="15240"/>
                <wp:effectExtent l="0" t="0" r="0" b="0"/>
                <wp:wrapNone/>
                <wp:docPr id="1" name="任意多边形 1"/>
                <wp:cNvGraphicFramePr/>
                <a:graphic xmlns:a="http://schemas.openxmlformats.org/drawingml/2006/main">
                  <a:graphicData uri="http://schemas.microsoft.com/office/word/2010/wordprocessingShape">
                    <wps:wsp>
                      <wps:cNvSpPr/>
                      <wps:spPr>
                        <a:xfrm>
                          <a:off x="0" y="0"/>
                          <a:ext cx="22860" cy="15240"/>
                        </a:xfrm>
                        <a:custGeom>
                          <a:avLst/>
                          <a:gdLst/>
                          <a:ahLst/>
                          <a:cxnLst/>
                          <a:pathLst>
                            <a:path w="35" h="24">
                              <a:moveTo>
                                <a:pt x="17" y="22"/>
                              </a:moveTo>
                              <a:lnTo>
                                <a:pt x="2" y="12"/>
                              </a:lnTo>
                              <a:lnTo>
                                <a:pt x="0" y="10"/>
                              </a:lnTo>
                              <a:lnTo>
                                <a:pt x="0" y="8"/>
                              </a:lnTo>
                              <a:lnTo>
                                <a:pt x="0" y="5"/>
                              </a:lnTo>
                              <a:lnTo>
                                <a:pt x="1" y="2"/>
                              </a:lnTo>
                              <a:lnTo>
                                <a:pt x="3" y="0"/>
                              </a:lnTo>
                              <a:lnTo>
                                <a:pt x="5" y="0"/>
                              </a:lnTo>
                              <a:lnTo>
                                <a:pt x="34" y="0"/>
                              </a:lnTo>
                              <a:lnTo>
                                <a:pt x="34" y="0"/>
                              </a:lnTo>
                              <a:lnTo>
                                <a:pt x="35" y="0"/>
                              </a:lnTo>
                              <a:lnTo>
                                <a:pt x="35" y="0"/>
                              </a:lnTo>
                              <a:lnTo>
                                <a:pt x="35" y="0"/>
                              </a:lnTo>
                              <a:lnTo>
                                <a:pt x="35" y="1"/>
                              </a:lnTo>
                              <a:lnTo>
                                <a:pt x="34" y="1"/>
                              </a:lnTo>
                            </a:path>
                          </a:pathLst>
                        </a:custGeom>
                        <a:solidFill>
                          <a:srgbClr val="FFFFFF"/>
                        </a:solidFill>
                        <a:ln w="8320"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307.4pt;margin-top:16pt;height:1.2pt;width:1.8pt;mso-position-horizontal-relative:page;z-index:251660288;mso-width-relative:page;mso-height-relative:page;" fillcolor="#FFFFFF" filled="t" coordsize="35,24" o:allowincell="f" o:gfxdata="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eSqZ0wAAAAkBAAAPAAAAAAAAAAEAIAAAACIAAABkcnMvZG93bnJldi54bWxQSwECFAAU&#10;AAAACACHTuJADOXEomgCAABABgAADgAAAAAAAAABACAAAAAiAQAAZHJzL2Uyb0RvYy54bWxQSwUG&#10;AAAAAAYABgBZAQAA/AUAAAAA&#10;" path="m17,22hbl2,12hhl0,10hfl0,8hfl0,5hfl1,2hhl3,0hdl5,0hdl34,0hhl34,0hhl35,0hhl35,0hhl35,0hdl35,1hdl34,1hae">
                <v:path arrowok="t"/>
                <v:fill on="t" focussize="0,0"/>
                <v:stroke weight="0.65511811023622pt"/>
                <v:imagedata o:title=""/>
                <o:lock v:ext="edit" grouping="f" rotation="f" text="f" aspectratio="f"/>
              </v:shape>
            </w:pict>
          </mc:Fallback>
        </mc:AlternateContent>
      </w:r>
      <w:bookmarkEnd w:id="3"/>
      <w:r>
        <w:rPr>
          <w:rFonts w:hint="eastAsia" w:ascii="仿宋_GB2312" w:hAnsi="仿宋_GB2312" w:eastAsia="仿宋_GB2312" w:cs="仿宋_GB2312"/>
          <w:sz w:val="32"/>
          <w:szCs w:val="32"/>
        </w:rPr>
        <w:t>10.高校办学自主权研究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11.省委大研讨、大行动涉及高等教育重大发展改革内容</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二、人才培养模式改革与创新</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1.高校大学生创新创业教育的研究与实践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2.高等学校人才培养合作模式探索与实践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3.拔尖创新人才培养的研究与实践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4.实施“卓越工程师培养计划”及其他领域应用型卓越人才培养的研究与实践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5.不同层次、不同类型院校人才培养模式的研究与实践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6.产学研用合作人才培养模式的研究与实践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7.高职技术技能型人才培养模式的研究与实践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8.专业硕士人才培养模式的研究与实践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9.高等教育各类职业教育人才衔接培养模式研究与实践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10.各类职业教育人才培养与招生试点项目专业一体化人才培养方案研究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11.现代学徒制研究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三、专业、课程建设与改革</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1.基于区域经济社会发展或产业结构调整的高等学校专业设置及动态调整机制的探索研究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2.高等学校专业办学水平评估研究与实践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3.专业课程体系与教学内容整体优化研究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4.高等学校特色专业、精品课程建设研究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5.基于行业标准的课程与教学内容体系研究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6.高校课程的准入、建设、评价与淘汰研究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7.高校课程建设标准与评估办法研究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8.高校公共基础课程教学改革与实践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9.高校通识教育课程的探索与实践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10.基于创新型人才培养的大学课程改革研究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11.研究生课程建设的改革研究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12.各类职业教育人才培养衔接课程建设研究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13.高等学校各类微课课程在教学中的应用研究 </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14.本科专业综合改革研究与实践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15.MOOC课程建设与翻转课堂教学研究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黑体" w:hAnsi="黑体" w:eastAsia="黑体" w:cs="黑体"/>
          <w:sz w:val="32"/>
          <w:szCs w:val="32"/>
        </w:rPr>
      </w:pPr>
      <w:bookmarkStart w:id="1" w:name="_toc227497595"/>
      <w:r>
        <w:rPr>
          <w:rFonts w:hint="eastAsia" w:ascii="黑体" w:hAnsi="黑体" w:eastAsia="黑体" w:cs="黑体"/>
          <w:sz w:val="32"/>
          <w:szCs w:val="32"/>
        </w:rPr>
        <w:t>四、教学方法、手段改革</w:t>
      </w:r>
      <w:bookmarkEnd w:id="1"/>
      <w:r>
        <w:rPr>
          <w:rFonts w:hint="eastAsia" w:ascii="黑体" w:hAnsi="黑体" w:eastAsia="黑体" w:cs="黑体"/>
          <w:sz w:val="32"/>
          <w:szCs w:val="32"/>
        </w:rPr>
        <w:t>与教学资源建设</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1.各类课程教学方法、手段的改革与实践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2.现代教育技术在教学中的应用研究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3.考试方式、方法的改革与实践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4.高等学校试题库建设与应用</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5.网络环境下学生自主学习能力的培养与评价研究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6.教学资源平台建设与管理的研究与实践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7.高等学校教学资源库建设的研究与实践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8.省级“质量工程”项目的示范性、推广性及共享研究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9.高等学校优质教育资源共建共享研究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10.高等学校微课教学资源库建设的研究与实践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11.高等学校精品视频公开课建设与研究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五、高校实践教学模式改革与大学生创新能力培养</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pacing w:val="-6"/>
          <w:sz w:val="32"/>
          <w:szCs w:val="32"/>
        </w:rPr>
        <w:t>高等学校实践教育模式创新和实践教育基地建设改革与实践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2.高等学校学科（专业、课程）实践教学（体系）改革研究与实践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3.高校大学生创新创业活动的研究与实践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4.推进高职高专“双证书”制度及加强职业资格鉴定的研究与实践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5.大学生综合实践技能竞赛改革与创新</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6.高职院校区域性（行业性、专业性）实训基地建设研究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7.实验室、实习实训基地、实验教学示范中心、校外实践基地以及实践教学共享平台建设的研究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8.高校校办创新创业孵化基地建设研究与实践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六、教学团队与教师队伍建设</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1.教学团队建设的研究与实践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2.教师发展及服务支持体系研究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3.提升教师教学能力的研究与实践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4.高校教师考核与评价研究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5.高校教师教学激励与保障机制的研究与实践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6.高校名师成长机制与培养途径的研究与实践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7.高等学校高校中青年骨干教师培训研究与实践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8.高等学校“双师型”教师队伍建设研究与实践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9.高校教风与学风建设研究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10.高校创新创业教育师资队伍的建设研究与实践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黑体" w:hAnsi="黑体" w:eastAsia="黑体" w:cs="黑体"/>
          <w:sz w:val="32"/>
          <w:szCs w:val="32"/>
        </w:rPr>
      </w:pPr>
      <w:bookmarkStart w:id="2" w:name="_toc227497598"/>
      <w:r>
        <w:rPr>
          <w:rFonts w:hint="eastAsia" w:ascii="黑体" w:hAnsi="黑体" w:eastAsia="黑体" w:cs="黑体"/>
          <w:sz w:val="32"/>
          <w:szCs w:val="32"/>
        </w:rPr>
        <w:t>七、教学管理与质量监控体系</w:t>
      </w:r>
      <w:bookmarkEnd w:id="2"/>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1.高校教学管理体制与运行机制的研究与实践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2.高校教学管理队伍建设研究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3.高校现代化教学管理手段研究与实践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4.毕业设计（论文）质量管理研究与实践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5.高等学校教学基层组织形式及其管理的改革与实践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6.高校教学评价制度与质量管理研究与实践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7.多校区办学管理模式研究与实践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8.高等学校学生管理改革研究与实践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9.大学生就业能力培养与就业指导模式改革研究</w:t>
      </w: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10.学分制改革研究与实践</w:t>
      </w:r>
    </w:p>
    <w:p/>
    <w:sectPr>
      <w:pgSz w:w="11906" w:h="16838"/>
      <w:pgMar w:top="1814" w:right="1417" w:bottom="1440" w:left="1474" w:header="851" w:footer="1446" w:gutter="0"/>
      <w:cols w:space="72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9131C"/>
    <w:rsid w:val="49091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2018-09-17T08:41:00Z</dcterms:created>
  <dc:creator>菡喻</dc:creator>
  <cp:lastModifiedBy>菡喻</cp:lastModifiedBy>
  <dcterms:modified xsi:type="dcterms:W3CDTF">2018-09-17T08:41:35Z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