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tbl>
      <w:tblPr>
        <w:tblW w:w="9236" w:type="dxa"/>
        <w:tblInd w:w="1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8"/>
        <w:gridCol w:w="15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7668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000" w:lineRule="atLeast"/>
              <w:ind w:left="0" w:right="0"/>
              <w:jc w:val="distribute"/>
              <w:rPr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b w:val="0"/>
                <w:color w:val="FF0000"/>
                <w:spacing w:val="0"/>
                <w:sz w:val="66"/>
                <w:szCs w:val="66"/>
              </w:rPr>
              <w:t>海南省教育厅</w:t>
            </w:r>
          </w:p>
        </w:tc>
        <w:tc>
          <w:tcPr>
            <w:tcW w:w="1568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00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方正小标宋_GBK" w:hAnsi="方正小标宋_GBK" w:eastAsia="方正小标宋_GBK" w:cs="方正小标宋_GBK"/>
                <w:b w:val="0"/>
                <w:color w:val="FF0000"/>
                <w:spacing w:val="0"/>
                <w:sz w:val="66"/>
                <w:szCs w:val="66"/>
              </w:rPr>
              <w:t>文件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668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000" w:lineRule="atLeast"/>
              <w:ind w:left="0" w:right="0"/>
              <w:jc w:val="distribute"/>
              <w:rPr>
                <w:sz w:val="18"/>
                <w:szCs w:val="18"/>
              </w:rPr>
            </w:pPr>
            <w:r>
              <w:rPr>
                <w:rFonts w:hint="default" w:ascii="方正小标宋_GBK" w:hAnsi="方正小标宋_GBK" w:eastAsia="方正小标宋_GBK" w:cs="方正小标宋_GBK"/>
                <w:b w:val="0"/>
                <w:color w:val="FF0000"/>
                <w:spacing w:val="0"/>
                <w:sz w:val="66"/>
                <w:szCs w:val="66"/>
              </w:rPr>
              <w:t> </w:t>
            </w:r>
          </w:p>
        </w:tc>
        <w:tc>
          <w:tcPr>
            <w:tcW w:w="1568" w:type="dxa"/>
            <w:vMerge w:val="continue"/>
            <w:shd w:val="clear"/>
            <w:vAlign w:val="center"/>
          </w:tcPr>
          <w:p>
            <w:pPr>
              <w:rPr>
                <w:rFonts w:hint="eastAsia" w:ascii="Geneva" w:hAnsi="Geneva" w:eastAsia="Geneva" w:cs="Genev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7668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000" w:lineRule="atLeast"/>
              <w:ind w:left="0" w:right="0"/>
              <w:jc w:val="distribute"/>
              <w:rPr>
                <w:sz w:val="18"/>
                <w:szCs w:val="18"/>
              </w:rPr>
            </w:pPr>
            <w:r>
              <w:rPr>
                <w:rFonts w:hint="default" w:ascii="方正小标宋_GBK" w:hAnsi="方正小标宋_GBK" w:eastAsia="方正小标宋_GBK" w:cs="方正小标宋_GBK"/>
                <w:b w:val="0"/>
                <w:color w:val="FF0000"/>
                <w:spacing w:val="0"/>
                <w:sz w:val="66"/>
                <w:szCs w:val="66"/>
              </w:rPr>
              <w:t>海南省教育工会</w:t>
            </w:r>
          </w:p>
        </w:tc>
        <w:tc>
          <w:tcPr>
            <w:tcW w:w="1568" w:type="dxa"/>
            <w:vMerge w:val="continue"/>
            <w:shd w:val="clear"/>
            <w:vAlign w:val="center"/>
          </w:tcPr>
          <w:p>
            <w:pPr>
              <w:rPr>
                <w:rFonts w:hint="default" w:ascii="Geneva" w:hAnsi="Geneva" w:eastAsia="Geneva" w:cs="Geneva"/>
                <w:color w:val="00000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wordWrap w:val="0"/>
        <w:snapToGrid w:val="0"/>
        <w:spacing w:before="0" w:beforeAutospacing="0" w:after="0" w:afterAutospacing="0" w:line="600" w:lineRule="atLeast"/>
        <w:ind w:left="0" w:right="0"/>
        <w:jc w:val="center"/>
        <w:rPr>
          <w:sz w:val="18"/>
          <w:szCs w:val="18"/>
        </w:rPr>
      </w:pPr>
      <w:r>
        <w:rPr>
          <w:rFonts w:ascii="仿宋_GB2312" w:hAnsi="Geneva" w:eastAsia="仿宋_GB2312" w:cs="仿宋_GB2312"/>
          <w:color w:val="000000"/>
          <w:spacing w:val="0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napToGrid w:val="0"/>
        <w:spacing w:before="0" w:beforeAutospacing="0" w:after="0" w:afterAutospacing="0" w:line="600" w:lineRule="atLeast"/>
        <w:ind w:left="0" w:right="0"/>
        <w:jc w:val="center"/>
        <w:rPr>
          <w:sz w:val="18"/>
          <w:szCs w:val="18"/>
        </w:rPr>
      </w:pPr>
      <w:r>
        <w:rPr>
          <w:rFonts w:hint="eastAsia" w:ascii="仿宋_GB2312" w:hAnsi="Geneva" w:eastAsia="仿宋_GB2312" w:cs="仿宋_GB2312"/>
          <w:color w:val="000000"/>
          <w:spacing w:val="0"/>
          <w:sz w:val="32"/>
          <w:szCs w:val="32"/>
        </w:rPr>
        <w:t>琼教高〔2018〕138号</w:t>
      </w:r>
    </w:p>
    <w:p>
      <w:pPr>
        <w:pStyle w:val="2"/>
        <w:keepNext w:val="0"/>
        <w:keepLines w:val="0"/>
        <w:widowControl/>
        <w:suppressLineNumbers w:val="0"/>
        <w:wordWrap w:val="0"/>
        <w:snapToGrid w:val="0"/>
        <w:spacing w:before="0" w:beforeAutospacing="0" w:after="0" w:afterAutospacing="0" w:line="320" w:lineRule="atLeast"/>
        <w:ind w:left="0" w:right="0"/>
        <w:jc w:val="left"/>
        <w:rPr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napToGrid w:val="0"/>
        <w:spacing w:before="0" w:beforeAutospacing="0" w:after="0" w:afterAutospacing="0" w:line="300" w:lineRule="atLeast"/>
        <w:ind w:left="0" w:right="0"/>
        <w:jc w:val="center"/>
        <w:rPr>
          <w:sz w:val="18"/>
          <w:szCs w:val="18"/>
        </w:rPr>
      </w:pPr>
      <w:r>
        <w:rPr>
          <w:rFonts w:hint="default" w:ascii="方正小标宋_GBK" w:hAnsi="方正小标宋_GBK" w:eastAsia="方正小标宋_GBK" w:cs="方正小标宋_GBK"/>
          <w:color w:val="000000"/>
          <w:spacing w:val="0"/>
          <w:sz w:val="44"/>
          <w:szCs w:val="44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napToGrid w:val="0"/>
        <w:spacing w:before="0" w:beforeAutospacing="0" w:after="0" w:afterAutospacing="0" w:line="700" w:lineRule="atLeast"/>
        <w:ind w:left="0" w:right="0"/>
        <w:jc w:val="center"/>
        <w:rPr>
          <w:sz w:val="18"/>
          <w:szCs w:val="18"/>
        </w:rPr>
      </w:pPr>
      <w:r>
        <w:rPr>
          <w:rFonts w:hint="default" w:ascii="方正小标宋_GBK" w:hAnsi="方正小标宋_GBK" w:eastAsia="方正小标宋_GBK" w:cs="方正小标宋_GBK"/>
          <w:b w:val="0"/>
          <w:color w:val="000000"/>
          <w:spacing w:val="0"/>
          <w:sz w:val="44"/>
          <w:szCs w:val="44"/>
        </w:rPr>
        <w:t>海南省教育厅</w:t>
      </w:r>
      <w:r>
        <w:rPr>
          <w:rFonts w:hint="default" w:ascii="Geneva" w:hAnsi="Geneva" w:eastAsia="Geneva" w:cs="Geneva"/>
          <w:snapToGrid w:val="0"/>
          <w:color w:val="000000"/>
          <w:sz w:val="18"/>
          <w:szCs w:val="18"/>
        </w:rPr>
        <w:t>  </w:t>
      </w:r>
      <w:r>
        <w:rPr>
          <w:rFonts w:hint="default" w:ascii="方正小标宋_GBK" w:hAnsi="方正小标宋_GBK" w:eastAsia="方正小标宋_GBK" w:cs="方正小标宋_GBK"/>
          <w:b w:val="0"/>
          <w:color w:val="000000"/>
          <w:spacing w:val="0"/>
          <w:sz w:val="44"/>
          <w:szCs w:val="44"/>
        </w:rPr>
        <w:t>海南省教育工会关于公布</w:t>
      </w:r>
    </w:p>
    <w:p>
      <w:pPr>
        <w:pStyle w:val="2"/>
        <w:keepNext w:val="0"/>
        <w:keepLines w:val="0"/>
        <w:widowControl/>
        <w:suppressLineNumbers w:val="0"/>
        <w:wordWrap w:val="0"/>
        <w:snapToGrid w:val="0"/>
        <w:spacing w:before="0" w:beforeAutospacing="0" w:after="0" w:afterAutospacing="0" w:line="700" w:lineRule="atLeast"/>
        <w:ind w:left="0" w:right="0"/>
        <w:jc w:val="center"/>
        <w:rPr>
          <w:sz w:val="18"/>
          <w:szCs w:val="18"/>
        </w:rPr>
      </w:pPr>
      <w:r>
        <w:rPr>
          <w:rFonts w:hint="default" w:ascii="方正小标宋_GBK" w:hAnsi="方正小标宋_GBK" w:eastAsia="方正小标宋_GBK" w:cs="方正小标宋_GBK"/>
          <w:b w:val="0"/>
          <w:color w:val="000000"/>
          <w:spacing w:val="0"/>
          <w:sz w:val="44"/>
          <w:szCs w:val="44"/>
        </w:rPr>
        <w:t>第十届海南省普通高等学校青年教师教学大赛结果的通知</w:t>
      </w:r>
    </w:p>
    <w:p>
      <w:pPr>
        <w:pStyle w:val="2"/>
        <w:keepNext w:val="0"/>
        <w:keepLines w:val="0"/>
        <w:widowControl/>
        <w:suppressLineNumbers w:val="0"/>
        <w:wordWrap w:val="0"/>
        <w:snapToGrid w:val="0"/>
        <w:spacing w:before="0" w:beforeAutospacing="0" w:after="0" w:afterAutospacing="0" w:line="600" w:lineRule="atLeast"/>
        <w:ind w:left="0" w:right="0" w:firstLine="640"/>
        <w:jc w:val="both"/>
        <w:rPr>
          <w:sz w:val="18"/>
          <w:szCs w:val="18"/>
        </w:rPr>
      </w:pPr>
      <w:r>
        <w:rPr>
          <w:rFonts w:hint="eastAsia" w:ascii="仿宋_GB2312" w:hAnsi="Geneva" w:eastAsia="仿宋_GB2312" w:cs="仿宋_GB2312"/>
          <w:color w:val="000000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napToGrid w:val="0"/>
        <w:spacing w:before="0" w:beforeAutospacing="0" w:after="0" w:afterAutospacing="0" w:line="600" w:lineRule="atLeast"/>
        <w:ind w:left="0" w:right="0"/>
        <w:jc w:val="both"/>
        <w:rPr>
          <w:sz w:val="18"/>
          <w:szCs w:val="18"/>
        </w:rPr>
      </w:pPr>
      <w:r>
        <w:rPr>
          <w:rFonts w:hint="eastAsia" w:ascii="仿宋_GB2312" w:hAnsi="Geneva" w:eastAsia="仿宋_GB2312" w:cs="仿宋_GB2312"/>
          <w:color w:val="000000"/>
          <w:sz w:val="32"/>
          <w:szCs w:val="32"/>
        </w:rPr>
        <w:t>各普通高等学校：</w:t>
      </w:r>
    </w:p>
    <w:p>
      <w:pPr>
        <w:pStyle w:val="2"/>
        <w:keepNext w:val="0"/>
        <w:keepLines w:val="0"/>
        <w:widowControl/>
        <w:suppressLineNumbers w:val="0"/>
        <w:wordWrap w:val="0"/>
        <w:snapToGrid w:val="0"/>
        <w:spacing w:before="0" w:beforeAutospacing="0" w:after="0" w:afterAutospacing="0" w:line="600" w:lineRule="atLeast"/>
        <w:ind w:left="0" w:right="0" w:firstLine="640"/>
        <w:jc w:val="both"/>
        <w:rPr>
          <w:sz w:val="18"/>
          <w:szCs w:val="18"/>
        </w:rPr>
      </w:pPr>
      <w:r>
        <w:rPr>
          <w:rFonts w:hint="eastAsia" w:ascii="仿宋_GB2312" w:hAnsi="Geneva" w:eastAsia="仿宋_GB2312" w:cs="仿宋_GB2312"/>
          <w:color w:val="000000"/>
          <w:sz w:val="32"/>
          <w:szCs w:val="32"/>
        </w:rPr>
        <w:t>根据海南省教育厅、海南省教育工会《关于举办第十届海南省普通高等学校青年教师教学大赛的通知》（琼教高〔2018〕71号）文件精神，第十届海南省普通高等学校青年教师教学大赛决赛于2018年5月28日至6月1日举行。来自全省19所普通高校的37名选手参加本次决赛，其中本科组18人，高职组19人。经评审委员会集中评议，现将本次大赛决赛结果予以公布（见附件），并按照一等奖选手奖励3000元、二等奖选手奖励2000元、三等奖选手奖励1000元、优秀奖选手奖励500元的标准向获奖选手发放奖金，以兹鼓励。</w:t>
      </w:r>
    </w:p>
    <w:p>
      <w:pPr>
        <w:pStyle w:val="2"/>
        <w:keepNext w:val="0"/>
        <w:keepLines w:val="0"/>
        <w:widowControl/>
        <w:suppressLineNumbers w:val="0"/>
        <w:wordWrap w:val="0"/>
        <w:snapToGrid w:val="0"/>
        <w:spacing w:before="0" w:beforeAutospacing="0" w:after="0" w:afterAutospacing="0" w:line="600" w:lineRule="atLeast"/>
        <w:ind w:left="0" w:right="0" w:firstLine="640"/>
        <w:jc w:val="both"/>
        <w:rPr>
          <w:sz w:val="18"/>
          <w:szCs w:val="18"/>
        </w:rPr>
      </w:pPr>
      <w:r>
        <w:rPr>
          <w:rFonts w:hint="eastAsia" w:ascii="仿宋_GB2312" w:hAnsi="Geneva" w:eastAsia="仿宋_GB2312" w:cs="仿宋_GB2312"/>
          <w:color w:val="000000"/>
          <w:sz w:val="32"/>
          <w:szCs w:val="32"/>
        </w:rPr>
        <w:t>希望各高校重视青年教师队伍建设，认真总结竞赛中取得的教学经验并积极宣传推广，激励广大青年教师重视教学、钻研教学，切实提高高等教育教学质量。希望获奖教师在今后工作中再接再厉，不断进取，进一步提高教学水平。希望全省高校青年教师向获奖教师学习，努力提高教学能力，为我省高等教育内涵式发展做出新贡献。</w:t>
      </w:r>
    </w:p>
    <w:p>
      <w:pPr>
        <w:pStyle w:val="2"/>
        <w:keepNext w:val="0"/>
        <w:keepLines w:val="0"/>
        <w:widowControl/>
        <w:suppressLineNumbers w:val="0"/>
        <w:wordWrap w:val="0"/>
        <w:snapToGrid w:val="0"/>
        <w:spacing w:before="0" w:beforeAutospacing="0" w:after="0" w:afterAutospacing="0" w:line="600" w:lineRule="atLeast"/>
        <w:ind w:left="0" w:right="0" w:firstLine="640"/>
        <w:jc w:val="both"/>
        <w:rPr>
          <w:sz w:val="18"/>
          <w:szCs w:val="18"/>
        </w:rPr>
      </w:pPr>
      <w:r>
        <w:rPr>
          <w:rFonts w:hint="eastAsia" w:ascii="仿宋_GB2312" w:hAnsi="Geneva" w:eastAsia="仿宋_GB2312" w:cs="仿宋_GB2312"/>
          <w:color w:val="000000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napToGrid w:val="0"/>
        <w:spacing w:before="0" w:beforeAutospacing="0" w:after="0" w:afterAutospacing="0" w:line="600" w:lineRule="atLeast"/>
        <w:ind w:left="0" w:right="0" w:firstLine="640"/>
        <w:jc w:val="both"/>
        <w:rPr>
          <w:sz w:val="18"/>
          <w:szCs w:val="18"/>
        </w:rPr>
      </w:pPr>
      <w:r>
        <w:rPr>
          <w:rFonts w:hint="eastAsia" w:ascii="仿宋_GB2312" w:hAnsi="Geneva" w:eastAsia="仿宋_GB2312" w:cs="仿宋_GB2312"/>
          <w:color w:val="000000"/>
          <w:sz w:val="32"/>
          <w:szCs w:val="32"/>
        </w:rPr>
        <w:t>附件：</w:t>
      </w:r>
      <w:r>
        <w:rPr>
          <w:rFonts w:hint="eastAsia" w:ascii="仿宋_GB2312" w:hAnsi="Geneva" w:eastAsia="仿宋_GB2312" w:cs="仿宋_GB2312"/>
          <w:color w:val="000000"/>
          <w:spacing w:val="-6"/>
          <w:sz w:val="32"/>
          <w:szCs w:val="32"/>
        </w:rPr>
        <w:t>第十届海南省普通高等学校青年教师教学大赛获奖名单</w:t>
      </w:r>
    </w:p>
    <w:p>
      <w:pPr>
        <w:pStyle w:val="2"/>
        <w:keepNext w:val="0"/>
        <w:keepLines w:val="0"/>
        <w:widowControl/>
        <w:suppressLineNumbers w:val="0"/>
        <w:wordWrap w:val="0"/>
        <w:snapToGrid w:val="0"/>
        <w:spacing w:before="0" w:beforeAutospacing="0" w:after="0" w:afterAutospacing="0" w:line="600" w:lineRule="atLeast"/>
        <w:ind w:left="0" w:right="0" w:firstLine="640"/>
        <w:jc w:val="both"/>
        <w:rPr>
          <w:sz w:val="18"/>
          <w:szCs w:val="18"/>
        </w:rPr>
      </w:pPr>
      <w:r>
        <w:rPr>
          <w:rFonts w:hint="eastAsia" w:ascii="仿宋_GB2312" w:hAnsi="Geneva" w:eastAsia="仿宋_GB2312" w:cs="仿宋_GB2312"/>
          <w:color w:val="000000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napToGrid w:val="0"/>
        <w:spacing w:before="0" w:beforeAutospacing="0" w:after="0" w:afterAutospacing="0" w:line="600" w:lineRule="atLeast"/>
        <w:ind w:left="0" w:right="0" w:firstLine="640"/>
        <w:jc w:val="both"/>
        <w:rPr>
          <w:sz w:val="18"/>
          <w:szCs w:val="18"/>
        </w:rPr>
      </w:pPr>
      <w:r>
        <w:rPr>
          <w:rFonts w:hint="eastAsia" w:ascii="仿宋_GB2312" w:hAnsi="Geneva" w:eastAsia="仿宋_GB2312" w:cs="仿宋_GB2312"/>
          <w:color w:val="000000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napToGrid w:val="0"/>
        <w:spacing w:before="0" w:beforeAutospacing="0" w:after="0" w:afterAutospacing="0" w:line="600" w:lineRule="atLeast"/>
        <w:ind w:left="0" w:right="0" w:firstLine="640"/>
        <w:jc w:val="both"/>
        <w:rPr>
          <w:sz w:val="18"/>
          <w:szCs w:val="18"/>
        </w:rPr>
      </w:pPr>
      <w:r>
        <w:rPr>
          <w:rFonts w:hint="eastAsia" w:ascii="仿宋_GB2312" w:hAnsi="Geneva" w:eastAsia="仿宋_GB2312" w:cs="仿宋_GB2312"/>
          <w:color w:val="000000"/>
          <w:sz w:val="32"/>
          <w:szCs w:val="32"/>
        </w:rPr>
        <w:t>  </w:t>
      </w:r>
      <w:r>
        <w:rPr>
          <w:rFonts w:hint="default" w:ascii="Geneva" w:hAnsi="Geneva" w:eastAsia="Geneva" w:cs="Geneva"/>
          <w:snapToGrid w:val="0"/>
          <w:color w:val="000000"/>
          <w:sz w:val="18"/>
          <w:szCs w:val="18"/>
        </w:rPr>
        <w:t> </w:t>
      </w:r>
      <w:r>
        <w:rPr>
          <w:rFonts w:hint="eastAsia" w:ascii="仿宋_GB2312" w:hAnsi="Geneva" w:eastAsia="仿宋_GB2312" w:cs="仿宋_GB2312"/>
          <w:color w:val="000000"/>
          <w:sz w:val="32"/>
          <w:szCs w:val="32"/>
        </w:rPr>
        <w:t>海南省教育厅           </w:t>
      </w:r>
      <w:r>
        <w:rPr>
          <w:rFonts w:hint="default" w:ascii="Geneva" w:hAnsi="Geneva" w:eastAsia="Geneva" w:cs="Geneva"/>
          <w:snapToGrid w:val="0"/>
          <w:color w:val="000000"/>
          <w:sz w:val="18"/>
          <w:szCs w:val="18"/>
        </w:rPr>
        <w:t> </w:t>
      </w:r>
      <w:r>
        <w:rPr>
          <w:rFonts w:hint="eastAsia" w:ascii="仿宋_GB2312" w:hAnsi="Geneva" w:eastAsia="仿宋_GB2312" w:cs="仿宋_GB2312"/>
          <w:color w:val="000000"/>
          <w:sz w:val="32"/>
          <w:szCs w:val="32"/>
        </w:rPr>
        <w:t>   海南省教育工会</w:t>
      </w:r>
    </w:p>
    <w:p>
      <w:pPr>
        <w:pStyle w:val="2"/>
        <w:keepNext w:val="0"/>
        <w:keepLines w:val="0"/>
        <w:widowControl/>
        <w:suppressLineNumbers w:val="0"/>
        <w:wordWrap w:val="0"/>
        <w:snapToGrid w:val="0"/>
        <w:spacing w:before="0" w:beforeAutospacing="0" w:after="0" w:afterAutospacing="0" w:line="600" w:lineRule="atLeast"/>
        <w:ind w:left="0" w:right="0" w:firstLine="640"/>
        <w:jc w:val="both"/>
        <w:rPr>
          <w:sz w:val="18"/>
          <w:szCs w:val="18"/>
        </w:rPr>
      </w:pPr>
      <w:r>
        <w:rPr>
          <w:rFonts w:hint="eastAsia" w:ascii="仿宋_GB2312" w:hAnsi="Geneva" w:eastAsia="仿宋_GB2312" w:cs="仿宋_GB2312"/>
          <w:color w:val="000000"/>
          <w:sz w:val="32"/>
          <w:szCs w:val="32"/>
        </w:rPr>
        <w:t>                             2018年6月12日</w:t>
      </w:r>
    </w:p>
    <w:p>
      <w:pPr>
        <w:pStyle w:val="2"/>
        <w:keepNext w:val="0"/>
        <w:keepLines w:val="0"/>
        <w:widowControl/>
        <w:suppressLineNumbers w:val="0"/>
        <w:wordWrap w:val="0"/>
        <w:snapToGrid w:val="0"/>
        <w:spacing w:before="0" w:beforeAutospacing="0" w:after="0" w:afterAutospacing="0" w:line="600" w:lineRule="atLeast"/>
        <w:ind w:left="0" w:right="0" w:firstLine="640"/>
        <w:jc w:val="left"/>
        <w:rPr>
          <w:sz w:val="18"/>
          <w:szCs w:val="18"/>
        </w:rPr>
      </w:pPr>
      <w:r>
        <w:rPr>
          <w:rFonts w:hint="eastAsia" w:ascii="仿宋_GB2312" w:hAnsi="Geneva" w:eastAsia="仿宋_GB2312" w:cs="仿宋_GB2312"/>
          <w:color w:val="000000"/>
          <w:sz w:val="32"/>
          <w:szCs w:val="32"/>
        </w:rPr>
        <w:t>（此件主动公开）</w:t>
      </w:r>
    </w:p>
    <w:p>
      <w:pPr>
        <w:pStyle w:val="2"/>
        <w:keepNext w:val="0"/>
        <w:keepLines w:val="0"/>
        <w:widowControl/>
        <w:suppressLineNumbers w:val="0"/>
        <w:wordWrap w:val="0"/>
        <w:snapToGrid w:val="0"/>
        <w:spacing w:before="0" w:beforeAutospacing="0" w:after="0" w:afterAutospacing="0" w:line="600" w:lineRule="atLeast"/>
        <w:ind w:left="0" w:right="0" w:firstLine="640"/>
        <w:jc w:val="left"/>
        <w:rPr>
          <w:sz w:val="18"/>
          <w:szCs w:val="18"/>
        </w:rPr>
      </w:pPr>
      <w:r>
        <w:rPr>
          <w:rFonts w:hint="default" w:ascii="Geneva" w:hAnsi="Geneva" w:eastAsia="Geneva" w:cs="Geneva"/>
          <w:snapToGrid w:val="0"/>
          <w:color w:val="000000"/>
          <w:sz w:val="18"/>
          <w:szCs w:val="18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napToGrid w:val="0"/>
        <w:spacing w:before="0" w:beforeAutospacing="0" w:after="0" w:afterAutospacing="0" w:line="380" w:lineRule="atLeast"/>
        <w:ind w:left="0" w:right="0"/>
        <w:jc w:val="left"/>
        <w:rPr>
          <w:sz w:val="18"/>
          <w:szCs w:val="18"/>
        </w:rPr>
      </w:pPr>
      <w:r>
        <w:rPr>
          <w:rFonts w:hint="default" w:ascii="Geneva" w:hAnsi="Geneva" w:eastAsia="Geneva" w:cs="Geneva"/>
          <w:snapToGrid w:val="0"/>
          <w:color w:val="000000"/>
          <w:sz w:val="18"/>
          <w:szCs w:val="18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napToGrid w:val="0"/>
        <w:spacing w:before="0" w:beforeAutospacing="0" w:after="0" w:afterAutospacing="0" w:line="480" w:lineRule="atLeast"/>
        <w:ind w:left="0" w:right="0"/>
        <w:jc w:val="both"/>
        <w:rPr>
          <w:sz w:val="18"/>
          <w:szCs w:val="18"/>
        </w:rPr>
      </w:pPr>
      <w:r>
        <w:rPr>
          <w:rFonts w:hint="eastAsia" w:ascii="仿宋_GB2312" w:hAnsi="Geneva" w:eastAsia="仿宋_GB2312" w:cs="仿宋_GB2312"/>
          <w:color w:val="000000"/>
          <w:sz w:val="28"/>
          <w:szCs w:val="28"/>
        </w:rPr>
        <w:t>  海南省教育厅办公室                 </w:t>
      </w:r>
      <w:r>
        <w:rPr>
          <w:rFonts w:hint="default" w:ascii="Geneva" w:hAnsi="Geneva" w:eastAsia="Geneva" w:cs="Geneva"/>
          <w:snapToGrid w:val="0"/>
          <w:color w:val="000000"/>
          <w:sz w:val="18"/>
          <w:szCs w:val="18"/>
        </w:rPr>
        <w:t>  </w:t>
      </w:r>
      <w:r>
        <w:rPr>
          <w:rFonts w:hint="eastAsia" w:ascii="仿宋_GB2312" w:hAnsi="Geneva" w:eastAsia="仿宋_GB2312" w:cs="仿宋_GB2312"/>
          <w:color w:val="000000"/>
          <w:sz w:val="28"/>
          <w:szCs w:val="28"/>
        </w:rPr>
        <w:t>  </w:t>
      </w:r>
      <w:r>
        <w:rPr>
          <w:rFonts w:hint="default" w:ascii="Geneva" w:hAnsi="Geneva" w:eastAsia="Geneva" w:cs="Geneva"/>
          <w:snapToGrid w:val="0"/>
          <w:color w:val="000000"/>
          <w:sz w:val="18"/>
          <w:szCs w:val="18"/>
        </w:rPr>
        <w:t>  </w:t>
      </w:r>
      <w:r>
        <w:rPr>
          <w:rFonts w:hint="eastAsia" w:ascii="仿宋_GB2312" w:hAnsi="Geneva" w:eastAsia="仿宋_GB2312" w:cs="仿宋_GB2312"/>
          <w:color w:val="000000"/>
          <w:sz w:val="28"/>
          <w:szCs w:val="28"/>
        </w:rPr>
        <w:t>2018年6月12日印发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500" w:lineRule="atLeast"/>
        <w:ind w:left="0" w:right="0"/>
        <w:jc w:val="left"/>
        <w:rPr>
          <w:sz w:val="18"/>
          <w:szCs w:val="18"/>
        </w:rPr>
      </w:pPr>
      <w:r>
        <w:rPr>
          <w:rFonts w:ascii="黑体" w:hAnsi="Geneva" w:eastAsia="黑体" w:cs="黑体"/>
          <w:color w:val="000000"/>
          <w:sz w:val="32"/>
          <w:szCs w:val="32"/>
          <w:bdr w:val="none" w:color="auto" w:sz="0" w:space="0"/>
        </w:rPr>
        <w:br w:type="page"/>
      </w:r>
      <w:r>
        <w:rPr>
          <w:rFonts w:hint="default" w:ascii="Geneva" w:hAnsi="Geneva" w:eastAsia="Geneva" w:cs="Geneva"/>
          <w:color w:val="000000"/>
          <w:sz w:val="18"/>
          <w:szCs w:val="18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500" w:lineRule="atLeast"/>
        <w:ind w:left="0" w:right="0"/>
        <w:jc w:val="left"/>
        <w:rPr>
          <w:sz w:val="18"/>
          <w:szCs w:val="18"/>
        </w:rPr>
      </w:pPr>
      <w:r>
        <w:rPr>
          <w:rFonts w:hint="default" w:ascii="Geneva" w:hAnsi="Geneva" w:eastAsia="Geneva" w:cs="Geneva"/>
          <w:color w:val="000000"/>
          <w:sz w:val="18"/>
          <w:szCs w:val="18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500" w:lineRule="atLeast"/>
        <w:ind w:left="0" w:right="0"/>
        <w:jc w:val="left"/>
        <w:rPr>
          <w:sz w:val="18"/>
          <w:szCs w:val="18"/>
        </w:rPr>
      </w:pPr>
      <w:r>
        <w:rPr>
          <w:rFonts w:hint="default" w:ascii="Geneva" w:hAnsi="Geneva" w:eastAsia="Geneva" w:cs="Geneva"/>
          <w:color w:val="000000"/>
          <w:sz w:val="18"/>
          <w:szCs w:val="18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500" w:lineRule="atLeast"/>
        <w:ind w:left="0" w:right="0"/>
        <w:jc w:val="left"/>
        <w:rPr>
          <w:sz w:val="18"/>
          <w:szCs w:val="18"/>
        </w:rPr>
      </w:pPr>
      <w:r>
        <w:rPr>
          <w:rFonts w:hint="eastAsia" w:ascii="黑体" w:hAnsi="Geneva" w:eastAsia="黑体" w:cs="黑体"/>
          <w:color w:val="000000"/>
          <w:sz w:val="32"/>
          <w:szCs w:val="32"/>
        </w:rPr>
        <w:t>附件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500" w:lineRule="atLeast"/>
        <w:ind w:left="0" w:right="0"/>
        <w:jc w:val="left"/>
        <w:rPr>
          <w:sz w:val="18"/>
          <w:szCs w:val="18"/>
        </w:rPr>
      </w:pPr>
      <w:r>
        <w:rPr>
          <w:rFonts w:hint="eastAsia" w:ascii="黑体" w:hAnsi="Geneva" w:eastAsia="黑体" w:cs="黑体"/>
          <w:color w:val="000000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700" w:lineRule="atLeast"/>
        <w:ind w:left="0" w:right="0"/>
        <w:jc w:val="center"/>
        <w:rPr>
          <w:sz w:val="18"/>
          <w:szCs w:val="18"/>
        </w:rPr>
      </w:pPr>
      <w:r>
        <w:rPr>
          <w:rFonts w:hint="default" w:ascii="方正小标宋_GBK" w:hAnsi="方正小标宋_GBK" w:eastAsia="方正小标宋_GBK" w:cs="方正小标宋_GBK"/>
          <w:color w:val="000000"/>
          <w:sz w:val="44"/>
          <w:szCs w:val="44"/>
        </w:rPr>
        <w:t>第十届海南省普通高等学校青年教师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700" w:lineRule="atLeast"/>
        <w:ind w:left="0" w:right="0"/>
        <w:jc w:val="center"/>
        <w:rPr>
          <w:sz w:val="18"/>
          <w:szCs w:val="18"/>
        </w:rPr>
      </w:pPr>
      <w:r>
        <w:rPr>
          <w:rFonts w:hint="default" w:ascii="方正小标宋_GBK" w:hAnsi="方正小标宋_GBK" w:eastAsia="方正小标宋_GBK" w:cs="方正小标宋_GBK"/>
          <w:color w:val="000000"/>
          <w:sz w:val="44"/>
          <w:szCs w:val="44"/>
        </w:rPr>
        <w:t>教学大赛获奖名单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156" w:afterAutospacing="0" w:line="700" w:lineRule="atLeast"/>
        <w:ind w:left="0" w:right="0"/>
        <w:jc w:val="center"/>
        <w:rPr>
          <w:sz w:val="18"/>
          <w:szCs w:val="18"/>
        </w:rPr>
      </w:pPr>
      <w:r>
        <w:rPr>
          <w:rFonts w:hint="eastAsia" w:ascii="黑体" w:hAnsi="Geneva" w:eastAsia="黑体" w:cs="黑体"/>
          <w:color w:val="000000"/>
          <w:sz w:val="32"/>
          <w:szCs w:val="32"/>
        </w:rPr>
        <w:t>（本科组）</w:t>
      </w:r>
    </w:p>
    <w:tbl>
      <w:tblPr>
        <w:tblW w:w="8960" w:type="dxa"/>
        <w:jc w:val="center"/>
        <w:tblInd w:w="-2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3847"/>
        <w:gridCol w:w="1999"/>
        <w:gridCol w:w="2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516" w:hRule="atLeast"/>
          <w:jc w:val="center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学  校</w:t>
            </w:r>
          </w:p>
        </w:tc>
        <w:tc>
          <w:tcPr>
            <w:tcW w:w="19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姓  名</w:t>
            </w:r>
          </w:p>
        </w:tc>
        <w:tc>
          <w:tcPr>
            <w:tcW w:w="2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获奖等次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16" w:hRule="atLeast"/>
          <w:jc w:val="center"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海南师范大学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王  超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16" w:hRule="atLeast"/>
          <w:jc w:val="center"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海南医学院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于海静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16" w:hRule="atLeast"/>
          <w:jc w:val="center"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海南大学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李  创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16" w:hRule="atLeast"/>
          <w:jc w:val="center"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三亚学院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石  丹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16" w:hRule="atLeast"/>
          <w:jc w:val="center"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海口经济学院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彭秋瑜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16" w:hRule="atLeast"/>
          <w:jc w:val="center"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海南大学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欧阳琨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16" w:hRule="atLeast"/>
          <w:jc w:val="center"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7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海南大学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毛  彧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16" w:hRule="atLeast"/>
          <w:jc w:val="center"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8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海南师范大学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张  昊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16" w:hRule="atLeast"/>
          <w:jc w:val="center"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9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海南热带海洋学院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蒋秀云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16" w:hRule="atLeast"/>
          <w:jc w:val="center"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琼台师范学院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潘婷玉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16" w:hRule="atLeast"/>
          <w:jc w:val="center"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海南大学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丛  琳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16" w:hRule="atLeast"/>
          <w:jc w:val="center"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海南大学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袁红梅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16" w:hRule="atLeast"/>
          <w:jc w:val="center"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海南师范大学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芦  炜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16" w:hRule="atLeast"/>
          <w:jc w:val="center"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海南医学院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刘  伟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16" w:hRule="atLeast"/>
          <w:jc w:val="center"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海南热带海洋学院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陈  燕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16" w:hRule="atLeast"/>
          <w:jc w:val="center"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三亚学院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李  慧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16" w:hRule="atLeast"/>
          <w:jc w:val="center"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海口经济学院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滕双春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55" w:hRule="atLeast"/>
          <w:jc w:val="center"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琼台师范学院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姜传贤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优秀奖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408" w:lineRule="auto"/>
        <w:ind w:left="0" w:right="0"/>
        <w:jc w:val="center"/>
        <w:rPr>
          <w:sz w:val="18"/>
          <w:szCs w:val="18"/>
        </w:rPr>
      </w:pPr>
      <w:r>
        <w:rPr>
          <w:rFonts w:hint="eastAsia" w:ascii="黑体" w:hAnsi="Geneva" w:eastAsia="黑体" w:cs="黑体"/>
          <w:color w:val="000000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156" w:afterAutospacing="0" w:line="700" w:lineRule="atLeast"/>
        <w:ind w:left="0" w:right="0"/>
        <w:jc w:val="center"/>
        <w:rPr>
          <w:sz w:val="18"/>
          <w:szCs w:val="18"/>
        </w:rPr>
      </w:pPr>
      <w:r>
        <w:rPr>
          <w:rFonts w:hint="eastAsia" w:ascii="黑体" w:hAnsi="Geneva" w:eastAsia="黑体" w:cs="黑体"/>
          <w:color w:val="000000"/>
          <w:sz w:val="32"/>
          <w:szCs w:val="32"/>
        </w:rPr>
        <w:t>（高职组）</w:t>
      </w:r>
    </w:p>
    <w:tbl>
      <w:tblPr>
        <w:tblW w:w="9040" w:type="dxa"/>
        <w:jc w:val="center"/>
        <w:tblInd w:w="-2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4092"/>
        <w:gridCol w:w="1981"/>
        <w:gridCol w:w="1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0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学  校</w:t>
            </w:r>
          </w:p>
        </w:tc>
        <w:tc>
          <w:tcPr>
            <w:tcW w:w="1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姓  名</w:t>
            </w:r>
          </w:p>
        </w:tc>
        <w:tc>
          <w:tcPr>
            <w:tcW w:w="1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获奖等次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海南经贸职业技术学院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李  响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三亚航空旅游职业学院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顾振华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海南职业技术学院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何  璐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海南外国语职业学院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吕洁如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56" w:hRule="atLeast"/>
          <w:jc w:val="center"/>
        </w:trPr>
        <w:tc>
          <w:tcPr>
            <w:tcW w:w="10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海南政法职业学院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温兴训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海南经贸职业技术学院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潘  珠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7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海南软件职业技术学院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胡  炫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三亚城市职业学院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朱晓彤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9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海南科技职业学院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牟玉兰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三亚理工职业学院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韩  丹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56" w:hRule="atLeast"/>
          <w:jc w:val="center"/>
        </w:trPr>
        <w:tc>
          <w:tcPr>
            <w:tcW w:w="10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海南职业技术学院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彭  帆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海南软件职业技术学院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陈冠星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海南外国语职业学院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杨  丹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海南工商职业学院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裴春媛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海南工商职业学院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傅  晓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三亚航空旅游职业学院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任  丹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56" w:hRule="atLeast"/>
          <w:jc w:val="center"/>
        </w:trPr>
        <w:tc>
          <w:tcPr>
            <w:tcW w:w="10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海南科技职业学院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王月雷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海南体育职业技术学院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伍文娟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三亚中瑞酒店管理职业学院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符  俊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优秀奖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600" w:lineRule="atLeast"/>
        <w:ind w:left="0" w:right="0"/>
        <w:jc w:val="both"/>
        <w:rPr>
          <w:sz w:val="18"/>
          <w:szCs w:val="18"/>
        </w:rPr>
      </w:pPr>
      <w:r>
        <w:rPr>
          <w:rFonts w:hint="eastAsia" w:ascii="仿宋_GB2312" w:hAnsi="Geneva" w:eastAsia="仿宋_GB2312" w:cs="仿宋_GB2312"/>
          <w:color w:val="000000"/>
          <w:sz w:val="32"/>
          <w:szCs w:val="32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eva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06388D"/>
    <w:rsid w:val="6D0638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18"/>
      <w:szCs w:val="18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2018-06-15T07:06:00Z</dcterms:created>
  <dc:creator>Administrator</dc:creator>
  <cp:lastModifiedBy>Administrator</cp:lastModifiedBy>
  <dcterms:modified xsi:type="dcterms:W3CDTF">2018-06-15T07:07:37Z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